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E0C" w:rsidRDefault="005F4E0C"/>
    <w:p w:rsidR="00A72224" w:rsidRPr="00A72224" w:rsidRDefault="00A72224" w:rsidP="00A72224">
      <w:pPr>
        <w:rPr>
          <w:rFonts w:ascii="Calibri" w:eastAsia="Times New Roman" w:hAnsi="Calibri" w:cs="Times New Roman"/>
          <w:color w:val="000000"/>
          <w:lang w:eastAsia="pt-BR"/>
        </w:rPr>
      </w:pPr>
      <w:r w:rsidRPr="00A72224">
        <w:rPr>
          <w:rFonts w:ascii="Calibri" w:eastAsia="Times New Roman" w:hAnsi="Calibri" w:cs="Times New Roman"/>
          <w:color w:val="000000"/>
          <w:lang w:eastAsia="pt-BR"/>
        </w:rPr>
        <w:t> </w:t>
      </w:r>
    </w:p>
    <w:p w:rsidR="00A72224" w:rsidRPr="00066428" w:rsidRDefault="00A72224" w:rsidP="00A72224">
      <w:pPr>
        <w:rPr>
          <w:rFonts w:ascii="Calibri" w:eastAsia="Times New Roman" w:hAnsi="Calibri" w:cs="Times New Roman"/>
          <w:color w:val="000000"/>
          <w:sz w:val="28"/>
          <w:lang w:eastAsia="pt-BR"/>
        </w:rPr>
      </w:pPr>
      <w:r w:rsidRPr="00066428">
        <w:rPr>
          <w:rFonts w:ascii="Calibri" w:eastAsia="Times New Roman" w:hAnsi="Calibri" w:cs="Times New Roman"/>
          <w:b/>
          <w:bCs/>
          <w:color w:val="000000"/>
          <w:sz w:val="28"/>
          <w:lang w:val="pt-PT" w:eastAsia="pt-BR"/>
        </w:rPr>
        <w:t>Securização das novas revoluções em biologia</w:t>
      </w:r>
    </w:p>
    <w:p w:rsidR="00A72224" w:rsidRPr="002C4FEF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en-US" w:eastAsia="pt-BR"/>
        </w:rPr>
      </w:pPr>
      <w:r w:rsidRPr="002C4FEF">
        <w:rPr>
          <w:rFonts w:ascii="Calibri" w:eastAsia="Times New Roman" w:hAnsi="Calibri" w:cs="Times New Roman"/>
          <w:color w:val="000000" w:themeColor="text1"/>
          <w:lang w:val="en-US" w:eastAsia="pt-BR"/>
        </w:rPr>
        <w:t>Autor: </w:t>
      </w:r>
      <w:r w:rsidRPr="002C4FEF">
        <w:rPr>
          <w:rFonts w:ascii="Calibri" w:eastAsia="Times New Roman" w:hAnsi="Calibri" w:cs="Times New Roman"/>
          <w:b/>
          <w:color w:val="000000" w:themeColor="text1"/>
          <w:lang w:val="en-US" w:eastAsia="pt-BR"/>
        </w:rPr>
        <w:t>Laurie Garrett</w:t>
      </w:r>
      <w:r w:rsidR="002C4FEF" w:rsidRPr="002C4FEF">
        <w:rPr>
          <w:rFonts w:ascii="Calibri" w:eastAsia="Times New Roman" w:hAnsi="Calibri" w:cs="Times New Roman"/>
          <w:color w:val="000000" w:themeColor="text1"/>
          <w:lang w:val="en-US" w:eastAsia="pt-BR"/>
        </w:rPr>
        <w:t>*</w:t>
      </w:r>
    </w:p>
    <w:p w:rsidR="00A72224" w:rsidRPr="002C4FEF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sz w:val="20"/>
          <w:lang w:val="en-US" w:eastAsia="pt-BR"/>
        </w:rPr>
      </w:pPr>
      <w:proofErr w:type="spellStart"/>
      <w:r w:rsidRPr="002C4FEF">
        <w:rPr>
          <w:rFonts w:ascii="Calibri" w:eastAsia="Times New Roman" w:hAnsi="Calibri" w:cs="Times New Roman"/>
          <w:color w:val="000000" w:themeColor="text1"/>
          <w:sz w:val="20"/>
          <w:lang w:val="en-US" w:eastAsia="pt-BR"/>
        </w:rPr>
        <w:t>Editora</w:t>
      </w:r>
      <w:proofErr w:type="spellEnd"/>
      <w:r w:rsidR="002C4FEF" w:rsidRPr="002C4FEF">
        <w:rPr>
          <w:rFonts w:ascii="Calibri" w:eastAsia="Times New Roman" w:hAnsi="Calibri" w:cs="Times New Roman"/>
          <w:color w:val="000000" w:themeColor="text1"/>
          <w:sz w:val="20"/>
          <w:lang w:val="en-US" w:eastAsia="pt-BR"/>
        </w:rPr>
        <w:t xml:space="preserve"> </w:t>
      </w:r>
      <w:proofErr w:type="gramStart"/>
      <w:r w:rsidR="002C4FEF" w:rsidRPr="002C4FEF">
        <w:rPr>
          <w:rFonts w:ascii="Calibri" w:eastAsia="Times New Roman" w:hAnsi="Calibri" w:cs="Times New Roman"/>
          <w:color w:val="000000" w:themeColor="text1"/>
          <w:sz w:val="20"/>
          <w:lang w:val="en-US" w:eastAsia="pt-BR"/>
        </w:rPr>
        <w:t xml:space="preserve">- </w:t>
      </w:r>
      <w:r w:rsidRPr="002C4FEF">
        <w:rPr>
          <w:rFonts w:ascii="Calibri" w:eastAsia="Times New Roman" w:hAnsi="Calibri" w:cs="Times New Roman"/>
          <w:color w:val="000000" w:themeColor="text1"/>
          <w:sz w:val="20"/>
          <w:lang w:val="en-US" w:eastAsia="pt-BR"/>
        </w:rPr>
        <w:t xml:space="preserve"> </w:t>
      </w:r>
      <w:r w:rsidR="002C4FEF" w:rsidRPr="002C4FEF">
        <w:rPr>
          <w:sz w:val="20"/>
          <w:lang w:val="en"/>
        </w:rPr>
        <w:t>Council</w:t>
      </w:r>
      <w:proofErr w:type="gramEnd"/>
      <w:r w:rsidR="002C4FEF" w:rsidRPr="002C4FEF">
        <w:rPr>
          <w:sz w:val="20"/>
          <w:lang w:val="en"/>
        </w:rPr>
        <w:t xml:space="preserve"> on Foreign Relations Press </w:t>
      </w:r>
    </w:p>
    <w:p w:rsidR="00A72224" w:rsidRPr="002C4FEF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sz w:val="20"/>
          <w:lang w:eastAsia="pt-BR"/>
        </w:rPr>
      </w:pPr>
      <w:r w:rsidRPr="002C4FEF">
        <w:rPr>
          <w:rFonts w:ascii="Calibri" w:eastAsia="Times New Roman" w:hAnsi="Calibri" w:cs="Times New Roman"/>
          <w:color w:val="000000" w:themeColor="text1"/>
          <w:sz w:val="20"/>
          <w:lang w:val="pt-PT" w:eastAsia="pt-BR"/>
        </w:rPr>
        <w:t>Data de lançamento outubro de 2013</w:t>
      </w:r>
    </w:p>
    <w:p w:rsidR="00A72224" w:rsidRPr="002C4FEF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sz w:val="20"/>
          <w:lang w:val="pt-PT" w:eastAsia="pt-BR"/>
        </w:rPr>
      </w:pPr>
      <w:r w:rsidRPr="002C4FEF">
        <w:rPr>
          <w:rFonts w:ascii="Calibri" w:eastAsia="Times New Roman" w:hAnsi="Calibri" w:cs="Times New Roman"/>
          <w:color w:val="000000" w:themeColor="text1"/>
          <w:sz w:val="20"/>
          <w:lang w:val="pt-PT" w:eastAsia="pt-BR"/>
        </w:rPr>
        <w:t>Política inovação memorando n º 38</w:t>
      </w:r>
    </w:p>
    <w:p w:rsidR="00066428" w:rsidRPr="002C4FEF" w:rsidRDefault="00066428" w:rsidP="00A72224">
      <w:pPr>
        <w:jc w:val="both"/>
        <w:rPr>
          <w:rFonts w:ascii="Calibri" w:eastAsia="Times New Roman" w:hAnsi="Calibri" w:cs="Times New Roman"/>
          <w:color w:val="000000" w:themeColor="text1"/>
          <w:sz w:val="20"/>
          <w:lang w:val="pt-PT" w:eastAsia="pt-BR"/>
        </w:rPr>
      </w:pPr>
      <w:r w:rsidRPr="002C4FEF">
        <w:rPr>
          <w:rFonts w:ascii="Calibri" w:eastAsia="Times New Roman" w:hAnsi="Calibri" w:cs="Times New Roman"/>
          <w:color w:val="000000" w:themeColor="text1"/>
          <w:sz w:val="20"/>
          <w:lang w:val="pt-PT" w:eastAsia="pt-BR"/>
        </w:rPr>
        <w:t>Tradução: C.Alte(MdRM1) Carlos Edson Matins da Silva</w:t>
      </w:r>
    </w:p>
    <w:p w:rsidR="002C4FEF" w:rsidRPr="002C4FEF" w:rsidRDefault="002C4FEF" w:rsidP="00A72224">
      <w:pPr>
        <w:jc w:val="both"/>
        <w:rPr>
          <w:rFonts w:ascii="Calibri" w:eastAsia="Times New Roman" w:hAnsi="Calibri" w:cs="Times New Roman"/>
          <w:color w:val="000000" w:themeColor="text1"/>
          <w:sz w:val="20"/>
          <w:lang w:eastAsia="pt-BR"/>
        </w:rPr>
      </w:pPr>
      <w:r w:rsidRPr="002C4FEF">
        <w:rPr>
          <w:rFonts w:ascii="Calibri" w:eastAsia="Times New Roman" w:hAnsi="Calibri" w:cs="Times New Roman"/>
          <w:color w:val="000000" w:themeColor="text1"/>
          <w:sz w:val="20"/>
          <w:lang w:val="pt-PT" w:eastAsia="pt-BR"/>
        </w:rPr>
        <w:t>Link para o original em inglês -</w:t>
      </w:r>
      <w:r w:rsidRPr="002C4FEF">
        <w:rPr>
          <w:sz w:val="20"/>
        </w:rPr>
        <w:t xml:space="preserve"> </w:t>
      </w:r>
      <w:r w:rsidRPr="002C4FEF">
        <w:rPr>
          <w:rFonts w:ascii="Calibri" w:eastAsia="Times New Roman" w:hAnsi="Calibri" w:cs="Times New Roman"/>
          <w:color w:val="000000" w:themeColor="text1"/>
          <w:sz w:val="20"/>
          <w:lang w:val="pt-PT" w:eastAsia="pt-BR"/>
        </w:rPr>
        <w:t>http://www.cfr.org/health/making-new-revolutions-biology-safe/p31453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A comunidade de política externa tem ignorado a progressiva revolução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na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biologia, deixando sua supervisão para organismos científicos tradicionais e, em raros casos, a órgãos de aplicação da lei. Isto é um erro tremendo. Novas tecnologias e ferramentas de genéticas agora permitem aos biólogos manufaturar  organismos vivos, dar a vírus e bactérias capacidades não encontrdas na natureza e levar os limites da evolução a caminhos inimagináveis há menos de uma década. Além disso, os custos de decodificação e modificação genetica de patógenos caíram desde o ano 2000, de bilhões de dólares para apenas alguns milhares. Os líderes políticos em todo o mundo precisam urgentemente trabalhar através da via diplomatica, da aplicação da lei, vigilância epidemiológica e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d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a liderança do comércio global para simultaneamente regular e dissuadir o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uso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malévolo ou descuidado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da nova biologia en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quanto estiverem promovendo suas aplicações benéficas à medicina, ciência e tecnologia da inovação.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72224">
        <w:rPr>
          <w:rFonts w:ascii="Calibri" w:eastAsia="Times New Roman" w:hAnsi="Calibri" w:cs="Times New Roman"/>
          <w:b/>
          <w:bCs/>
          <w:color w:val="000000" w:themeColor="text1"/>
          <w:lang w:val="pt-PT" w:eastAsia="pt-BR"/>
        </w:rPr>
        <w:t>As novas revoluções na biologia</w:t>
      </w:r>
    </w:p>
    <w:p w:rsid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Duas revoluções estão acontecendo na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biologia dando os cientistas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a capacidade de transformar os germes existentes em suas características funcionais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e assim torná-los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mais perigosos e para sintetizar totalmente novas formas de vida. 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A Revolução de ganho-de-função (GOF</w:t>
      </w:r>
      <w:r w:rsidR="008D3A72"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)</w:t>
      </w:r>
      <w:r w:rsidR="00A52432">
        <w:rPr>
          <w:rFonts w:ascii="Calibri" w:eastAsia="Times New Roman" w:hAnsi="Calibri" w:cs="Times New Roman"/>
          <w:color w:val="000000" w:themeColor="text1"/>
          <w:lang w:val="pt-PT" w:eastAsia="pt-BR"/>
        </w:rPr>
        <w:t>¹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foi trazida à luz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através de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recentes experiências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com o vírus da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gripe. Temendo  que diversas formas de vírus da gripe aviária naturalmente poderiam evoluir para cepas pandemicas que poderiam matar milhões de pessoas, o Laboratório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de G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ripe Animal do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Instituto de Pesquisa V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eterinária de Harbin na China usou novas técnicas biologicas em 2013 para fabricar 127 tipos de vírus da gripe anteriormente inexistentes, cinco dos quais 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tiveram a capacidade de disseminação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através do ar entre porcos da Guiné, indicando que eles casualmente pode</w:t>
      </w:r>
      <w:r>
        <w:rPr>
          <w:rFonts w:ascii="Calibri" w:eastAsia="Times New Roman" w:hAnsi="Calibri" w:cs="Times New Roman"/>
          <w:color w:val="000000" w:themeColor="text1"/>
          <w:lang w:val="pt-PT" w:eastAsia="pt-BR"/>
        </w:rPr>
        <w:t>ria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m ser transmitido de pessoa para pessoa. 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Os fabricantes de vírus chineses não foram os primeiros a fabricar micróbios assassinos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através de pesquisas com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o propósito ostensivo de imaginar o que poderia surgir da evolução natural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destes vírus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. Em 2012,  cientistas em Wisconsin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nos Estados Unidos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e nos Países Baixos manipularam genes de vírus de gripe aviária H5N1, transformando o que na natureza são gripes com transmissão pássaro-a-pássaro em formas do vírus que pode propagar-se através do ar entre furões — substitutos de laboratório para os seres humanos.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Uma segunda</w:t>
      </w:r>
      <w:r w:rsidR="00B15B8B" w:rsidRPr="00B15B8B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r</w:t>
      </w:r>
      <w:r w:rsidR="00B15B8B"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evolução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, a 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da biologia sintética  explora a tecnologia de sequenciamento genético que torn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a mais barato, rápido e fácil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decifrar os códigos de DNA. Empresas oferecem </w:t>
      </w:r>
      <w:r w:rsidR="00B15B8B"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seções de sequências genéticas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,</w:t>
      </w:r>
      <w:r w:rsidR="00B15B8B"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"tijolos", que podem ser compradas para construir novos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lastRenderedPageBreak/>
        <w:t>genomas, como se fosse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m peças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de Legos. Com o GOF e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a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biologia sintética, os cientistas já não são meros observadores da vida, mas seus criadores, engajados em uma colaboração multinacional mais barata e de rápido intercâmbio, que está decodificando  todas as formas de vida, identificando seus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“tijolos"interessantes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e os trocando em tempo real, através da Internet.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72224">
        <w:rPr>
          <w:rFonts w:ascii="Calibri" w:eastAsia="Times New Roman" w:hAnsi="Calibri" w:cs="Times New Roman"/>
          <w:b/>
          <w:bCs/>
          <w:color w:val="000000" w:themeColor="text1"/>
          <w:lang w:val="pt-PT" w:eastAsia="pt-BR"/>
        </w:rPr>
        <w:t>Os desenrolar dos problemas</w:t>
      </w:r>
    </w:p>
    <w:p w:rsidR="00B15B8B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Enquanto a nova biologia está avançando desordenadamente na biocriação do século XXI, os sistemas nacionais e internacionais de vigilância e de regulação estão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paralizados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em uma abordagem desatualizada de doença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s e do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contra-bioterrorismo, focada em listas de "agentes selecionados" </w:t>
      </w:r>
      <w:r w:rsidR="00B15B8B"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de germes e toxinas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à moda antiga.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Desde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do episódio d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as correspondências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com antraz em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2001, o Congresso dos EUA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destinou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centenas de bilhões de dólares para desenvolver tecnologias destinadas a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o controle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d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essas listas antiquadas. Enquanto isso, o setor privado em todo o mundo é e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m grande parte não regulamentado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e não observado. Os experimentos </w:t>
      </w:r>
      <w:r w:rsidR="00B15B8B"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americano e holandês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GOF </w:t>
      </w:r>
      <w:r w:rsidR="00B15B8B">
        <w:rPr>
          <w:rFonts w:ascii="Calibri" w:eastAsia="Times New Roman" w:hAnsi="Calibri" w:cs="Times New Roman"/>
          <w:color w:val="000000" w:themeColor="text1"/>
          <w:lang w:val="pt-PT" w:eastAsia="pt-BR"/>
        </w:rPr>
        <w:t>do vírus da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gripe gerou debate entre os virologistas e especialistas em saúde pública e de biossegurança, resultando em um conjunto de orientações do Institutos Nacional de </w:t>
      </w:r>
      <w:r w:rsidRPr="00A72224">
        <w:rPr>
          <w:rFonts w:eastAsia="Times New Roman" w:cs="Times New Roman"/>
          <w:color w:val="000000" w:themeColor="text1"/>
          <w:lang w:val="pt-PT" w:eastAsia="pt-BR"/>
        </w:rPr>
        <w:t xml:space="preserve">Saúde dos EUA sobre as </w:t>
      </w:r>
      <w:r w:rsidR="00B15B8B">
        <w:rPr>
          <w:rFonts w:eastAsia="Times New Roman" w:cs="Times New Roman"/>
          <w:color w:val="000000" w:themeColor="text1"/>
          <w:lang w:val="pt-PT" w:eastAsia="pt-BR"/>
        </w:rPr>
        <w:t>“</w:t>
      </w:r>
      <w:r w:rsidRPr="00A72224">
        <w:rPr>
          <w:vanish/>
          <w:color w:val="000000" w:themeColor="text1"/>
          <w:lang w:val="pt-PT"/>
        </w:rPr>
        <w:t>pesquisa de dupla utilização do interesse pesquisa de dupla utilização do interesse pesquisa de dupla utilização do interesse</w:t>
      </w:r>
      <w:r w:rsidR="00757321">
        <w:rPr>
          <w:vanish/>
          <w:color w:val="000000" w:themeColor="text1"/>
          <w:lang w:val="pt-PT"/>
        </w:rPr>
        <w:t xml:space="preserve"> </w:t>
      </w:r>
      <w:bookmarkStart w:id="0" w:name="_GoBack"/>
      <w:bookmarkEnd w:id="0"/>
      <w:r w:rsidRPr="00A72224">
        <w:rPr>
          <w:color w:val="000000" w:themeColor="text1"/>
          <w:lang w:val="pt-PT"/>
        </w:rPr>
        <w:t>Pesquisas de Dupla Utilização que Sucitem Preocupação</w:t>
      </w:r>
      <w:r w:rsidR="00B15B8B">
        <w:rPr>
          <w:color w:val="000000" w:themeColor="text1"/>
          <w:lang w:val="pt-PT"/>
        </w:rPr>
        <w:t>”</w:t>
      </w:r>
      <w:r w:rsidRPr="00A72224">
        <w:rPr>
          <w:rFonts w:eastAsia="Times New Roman" w:cs="Times New Roman"/>
          <w:color w:val="000000" w:themeColor="text1"/>
          <w:lang w:val="pt-PT" w:eastAsia="pt-BR"/>
        </w:rPr>
        <w:t xml:space="preserve"> </w:t>
      </w:r>
      <w:r w:rsidRPr="00A72224">
        <w:rPr>
          <w:rFonts w:eastAsia="Times New Roman" w:cs="Times New Roman"/>
          <w:color w:val="000000" w:themeColor="text1"/>
          <w:lang w:eastAsia="pt-BR"/>
        </w:rPr>
        <w:t>(dua</w:t>
      </w:r>
      <w:r w:rsidR="00A52432">
        <w:rPr>
          <w:rFonts w:eastAsia="Times New Roman" w:cs="Times New Roman"/>
          <w:color w:val="000000" w:themeColor="text1"/>
          <w:lang w:eastAsia="pt-BR"/>
        </w:rPr>
        <w:t xml:space="preserve">l-use </w:t>
      </w:r>
      <w:proofErr w:type="spellStart"/>
      <w:r w:rsidR="00A52432">
        <w:rPr>
          <w:rFonts w:eastAsia="Times New Roman" w:cs="Times New Roman"/>
          <w:color w:val="000000" w:themeColor="text1"/>
          <w:lang w:eastAsia="pt-BR"/>
        </w:rPr>
        <w:t>research</w:t>
      </w:r>
      <w:proofErr w:type="spellEnd"/>
      <w:r w:rsidR="00A52432">
        <w:rPr>
          <w:rFonts w:eastAsia="Times New Roman" w:cs="Times New Roman"/>
          <w:color w:val="000000" w:themeColor="text1"/>
          <w:lang w:eastAsia="pt-BR"/>
        </w:rPr>
        <w:t xml:space="preserve"> </w:t>
      </w:r>
      <w:proofErr w:type="spellStart"/>
      <w:r w:rsidR="00A52432">
        <w:rPr>
          <w:rFonts w:eastAsia="Times New Roman" w:cs="Times New Roman"/>
          <w:color w:val="000000" w:themeColor="text1"/>
          <w:lang w:eastAsia="pt-BR"/>
        </w:rPr>
        <w:t>of</w:t>
      </w:r>
      <w:proofErr w:type="spellEnd"/>
      <w:r w:rsidR="00A52432">
        <w:rPr>
          <w:rFonts w:eastAsia="Times New Roman" w:cs="Times New Roman"/>
          <w:color w:val="000000" w:themeColor="text1"/>
          <w:lang w:eastAsia="pt-BR"/>
        </w:rPr>
        <w:t xml:space="preserve"> </w:t>
      </w:r>
      <w:proofErr w:type="spellStart"/>
      <w:r w:rsidR="00A52432">
        <w:rPr>
          <w:rFonts w:eastAsia="Times New Roman" w:cs="Times New Roman"/>
          <w:color w:val="000000" w:themeColor="text1"/>
          <w:lang w:eastAsia="pt-BR"/>
        </w:rPr>
        <w:t>concern</w:t>
      </w:r>
      <w:proofErr w:type="spellEnd"/>
      <w:r w:rsidR="00A52432">
        <w:rPr>
          <w:rFonts w:eastAsia="Times New Roman" w:cs="Times New Roman"/>
          <w:color w:val="000000" w:themeColor="text1"/>
          <w:lang w:eastAsia="pt-BR"/>
        </w:rPr>
        <w:t xml:space="preserve"> –DURC</w:t>
      </w:r>
      <w:r w:rsidR="008D3A72">
        <w:rPr>
          <w:rFonts w:eastAsia="Times New Roman" w:cs="Times New Roman"/>
          <w:color w:val="000000" w:themeColor="text1"/>
          <w:lang w:eastAsia="pt-BR"/>
        </w:rPr>
        <w:t>)²</w:t>
      </w:r>
      <w:r w:rsidRPr="00A72224">
        <w:rPr>
          <w:rFonts w:eastAsia="Times New Roman" w:cs="Times New Roman"/>
          <w:color w:val="000000" w:themeColor="text1"/>
          <w:lang w:eastAsia="pt-BR"/>
        </w:rPr>
        <w:t>sobre a gripe</w:t>
      </w:r>
      <w:r w:rsidRPr="00A72224">
        <w:rPr>
          <w:rFonts w:ascii="Calibri" w:eastAsia="Times New Roman" w:hAnsi="Calibri" w:cs="Times New Roman"/>
          <w:color w:val="000000" w:themeColor="text1"/>
          <w:lang w:eastAsia="pt-BR"/>
        </w:rPr>
        <w:t xml:space="preserve"> aviária. 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Mas, como demonstra o vírus da gripe de criação chinesa , orientações unilaterais dos EUA não oferecem nenhuma proteção contra síntese ultramarina de novas formas de vida perigosas. Além disso, biólogos dos EUA argumentam que "excesso de regulamentação" interno do GOF e do trabalho em biologia sintética coloca o país em desvantagem econômica e científica em relação à concorrência na Europa, Ásia e América Latina.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A DURC coloca algumas ameaças imensuráveis, mas potencialmente de alto impacto para o terrorismo estatal ou não estatal. O risco mais imediato é a liberação não intencional de patógenos, com potencial para prejudicar os humanos, pecuária, agricultura ou o meio ambiente. Há supervisão negligenciável em todos os países sobre potencial DURC executado em laboratórios de baixa segurança, como os encontrados em escolas, faculdades e a maioria das instalações do setor privado. Desde o 11 de setembro houve uma proliferação exponencial de </w:t>
      </w:r>
      <w:r w:rsidR="00F9317E">
        <w:rPr>
          <w:rFonts w:ascii="Calibri" w:eastAsia="Times New Roman" w:hAnsi="Calibri" w:cs="Times New Roman"/>
          <w:color w:val="000000" w:themeColor="text1"/>
          <w:lang w:val="pt-PT" w:eastAsia="pt-BR"/>
        </w:rPr>
        <w:t>l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aboratórios de b</w:t>
      </w:r>
      <w:r w:rsidR="00F9317E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iossegurança nível 3 (BSL-3) e 4 (BSL-4)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em todo o mundo — por definição, instalações com potencial DURC em que patógenos especiais, tais como gripes assassinas, Ebola e varíola, são armazenados e estudadas. Desde 2003, mais de cem acidentes mortais de exposição humana à micróbios ocorreram em tais laboratórios nos Estados Unidos. Não existem definições  ou normas internacionais ou regionais uniformes sobre segurança de laboratório, biosegurança ou protocolos para </w:t>
      </w:r>
      <w:r w:rsidR="00F9317E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as 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DURC.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72224">
        <w:rPr>
          <w:rFonts w:ascii="Calibri" w:eastAsia="Times New Roman" w:hAnsi="Calibri" w:cs="Times New Roman"/>
          <w:b/>
          <w:bCs/>
          <w:color w:val="000000" w:themeColor="text1"/>
          <w:lang w:val="pt-PT" w:eastAsia="pt-BR"/>
        </w:rPr>
        <w:t>O que precisa ser feito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Não existe consenso entre os especialistas em ciência e segurança sobre quais pesquisas de dupla utilização pesam para o lado do benefício social, contra o perigo significativo para a humanidade que representam. Se deixados para auto supervisão, c</w:t>
      </w:r>
      <w:r w:rsidR="00F9317E">
        <w:rPr>
          <w:rFonts w:ascii="Calibri" w:eastAsia="Times New Roman" w:hAnsi="Calibri" w:cs="Times New Roman"/>
          <w:color w:val="000000" w:themeColor="text1"/>
          <w:lang w:val="pt-PT" w:eastAsia="pt-BR"/>
        </w:rPr>
        <w:t>ientistas normalmente optam por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um ambiente de trabalho desregulamentado. Mas os legisladores precisam reformular a questão e não deixar a resposta e avaliação de risco exclusivamente nas mãos da comunidade científica. </w:t>
      </w:r>
    </w:p>
    <w:p w:rsidR="00A72224" w:rsidRP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lastRenderedPageBreak/>
        <w:t>Recomendações políticas</w:t>
      </w:r>
      <w:r w:rsidR="00C35D03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(para os Estados Unidos </w:t>
      </w:r>
      <w:r w:rsidR="00C35D03" w:rsidRPr="00C35D03">
        <w:rPr>
          <w:rFonts w:ascii="Calibri" w:eastAsia="Times New Roman" w:hAnsi="Calibri" w:cs="Times New Roman"/>
          <w:color w:val="000000" w:themeColor="text1"/>
          <w:sz w:val="10"/>
          <w:lang w:val="pt-PT" w:eastAsia="pt-BR"/>
        </w:rPr>
        <w:t>N.A</w:t>
      </w:r>
      <w:r w:rsidR="00C35D03">
        <w:rPr>
          <w:rFonts w:ascii="Calibri" w:eastAsia="Times New Roman" w:hAnsi="Calibri" w:cs="Times New Roman"/>
          <w:color w:val="000000" w:themeColor="text1"/>
          <w:lang w:val="pt-PT" w:eastAsia="pt-BR"/>
        </w:rPr>
        <w:t>.)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incluem o seguinte:</w:t>
      </w:r>
    </w:p>
    <w:p w:rsidR="00A72224" w:rsidRPr="00AB5955" w:rsidRDefault="00A72224" w:rsidP="00AB5955">
      <w:pPr>
        <w:pStyle w:val="PargrafodaLista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O Departamento de Estado (DOS) e o Departamento de Saúde e Serviços Humanos (HHS) dos Estados Unidos devem colaborar com parceiros internacionais para harmonizar as normas glob</w:t>
      </w:r>
      <w:r w:rsidR="00F9317E"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a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is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val="pt-PT" w:eastAsia="pt-BR"/>
        </w:rPr>
        <w:t> 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de laboratório e biossegurança.</w:t>
      </w:r>
      <w:r w:rsidRPr="00AB5955">
        <w:rPr>
          <w:rFonts w:ascii="Calibri" w:eastAsia="Times New Roman" w:hAnsi="Calibri" w:cs="Times New Roman"/>
          <w:color w:val="000000" w:themeColor="text1"/>
          <w:lang w:eastAsia="pt-BR"/>
        </w:rPr>
        <w:t> 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DOS e HHS devem trabalhar em estreita colaboração com a União Europeia, Organização dos Estados Americanos, União Africana e Associação de Nações do Sudeste Asiático para promulgar definições claras de 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padrões para 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laboratórios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BSL-3 e BSL-4 sobre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normas de biossegurança, armazenamento de patógenos, limites nas pesquisas GOF e análise sobre sequências genéticas compartilhadas. A  introdução de normas regulamentares equivalentes em todo o mundo irá minimizar o risco de que uma linha de pesquisa científica em um país </w:t>
      </w:r>
      <w:r w:rsidR="00F9317E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dotado de boa regulamentação de segurança 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seja paralizada enquanto possa progridir em  otro país por falta de atenção</w:t>
      </w:r>
      <w:r w:rsidR="00F9317E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e regulação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do governo. Um modelo para a emulação pode ser o “Codex Alimentarius”, estabelecido em 1963 pela 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Organização das Nações 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Unidas para Alimentação e Agricultura (FAO) e a 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Organização 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Mundial de Saúde (OMS) para padronizar todas as directrizes de segurança alimentar em todo o mundo.</w:t>
      </w:r>
    </w:p>
    <w:p w:rsidR="00A72224" w:rsidRPr="00AB5955" w:rsidRDefault="00A72224" w:rsidP="00AB5955">
      <w:pPr>
        <w:pStyle w:val="PargrafodaLista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Os Centros para Controle e Prevenção de Doenças (CDC) e o FBI deve</w:t>
      </w:r>
      <w:r w:rsid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m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 xml:space="preserve"> trocar a abordagem </w:t>
      </w:r>
      <w:r w:rsid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 xml:space="preserve">através de uma lista 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 xml:space="preserve">de </w:t>
      </w:r>
      <w:r w:rsidR="00AB5955"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 xml:space="preserve">"patógenos </w:t>
      </w:r>
      <w:r w:rsid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selecionados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" para a de acompanhamento e aplicação da lei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val="pt-PT" w:eastAsia="pt-BR"/>
        </w:rPr>
        <w:t>.</w:t>
      </w:r>
      <w:r w:rsidRPr="00AB5955">
        <w:rPr>
          <w:rFonts w:ascii="Calibri" w:eastAsia="Times New Roman" w:hAnsi="Calibri" w:cs="Times New Roman"/>
          <w:color w:val="000000" w:themeColor="text1"/>
          <w:lang w:eastAsia="pt-BR"/>
        </w:rPr>
        <w:t> 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A abordagem baseada em uma 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lista 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de patógenos seliecionados oferece uma falsa segurança e por definição, exclui todas as novas ameaças. O CDC e o FBI devem colaborar estreitamente com a OMS, a Interpol, Centro Europeu para o Controle de Doenças e agências análogas em todo o mundo para identificar quem está trabalhando em organismos geneticamente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potencializados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ou recém-criados e avaliar as suas ameaças. O processo da Convenção de Armas Biológicas pode servir como uma base multilateral para estas conversações, mas discretas discussões bilateral e regional, são mais 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susceptíveis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de se tornarem frutíferas.</w:t>
      </w:r>
    </w:p>
    <w:p w:rsidR="00A72224" w:rsidRPr="00AB5955" w:rsidRDefault="00A72224" w:rsidP="00AB5955">
      <w:pPr>
        <w:pStyle w:val="PargrafodaLista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O Serviço de Inspeção Sanitária Animal e Vegetal (APHIS) do Departamento de Comércio dos Estados Unidos e o Escritório do Representante Comercial dos Estados Unidos (USTR) devem criar um quadro regulamentar adequado para o problema DURC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val="pt-PT" w:eastAsia="pt-BR"/>
        </w:rPr>
        <w:t>.</w:t>
      </w:r>
      <w:r w:rsidRPr="00AB5955">
        <w:rPr>
          <w:rFonts w:ascii="Calibri" w:eastAsia="Times New Roman" w:hAnsi="Calibri" w:cs="Times New Roman"/>
          <w:color w:val="000000" w:themeColor="text1"/>
          <w:lang w:eastAsia="pt-BR"/>
        </w:rPr>
        <w:t> 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Em uma época quando o envio de sequências de genes por e-mail tornaram obsoleto o transporte de tubos de ensaio, os limites adequados de exportação são difíceis de definir. Excesso de regulamentação corre o risco de sufocar a ciência. Um modelo de regulamentação pode ser desenvolvido a partir das experiências de engajamento da APHIS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à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Convenção Internacional Fitossanitári</w:t>
      </w:r>
      <w:r w:rsidR="00AB5955"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a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através dos serviços internacionais da agência. Muitos centros de distribuição de nucleotídeos já monitoram "seqüências sensíveis" para o tráfego de genomas pela Internet, exigindo informações especiais sobre indivíduos que buscam detalhes genéticos relacionados a patógeno — uma abordagem que deve ser abraçada por aplicativos do governo.</w:t>
      </w:r>
    </w:p>
    <w:p w:rsidR="00A72224" w:rsidRPr="00AB5955" w:rsidRDefault="00A72224" w:rsidP="00AB5955">
      <w:pPr>
        <w:pStyle w:val="PargrafodaLista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Empresas de biotecnologia privada e distribuidores de "biobrick</w:t>
      </w:r>
      <w:r w:rsidR="008D3A72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"³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 xml:space="preserve">devem atribuir </w:t>
      </w:r>
      <w:r w:rsidR="008D3A72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 xml:space="preserve">      </w:t>
      </w:r>
      <w:proofErr w:type="gramStart"/>
      <w:r w:rsidR="008D3A72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 xml:space="preserve">   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“</w:t>
      </w:r>
      <w:proofErr w:type="spellStart"/>
      <w:proofErr w:type="gramEnd"/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ta</w:t>
      </w:r>
      <w:r w:rsidR="008D3A72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gs</w:t>
      </w:r>
      <w:proofErr w:type="spellEnd"/>
      <w:r w:rsidR="008D3A72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”⁴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de Biossegurança a todos os produtos sintéticos</w:t>
      </w:r>
      <w:r w:rsidRPr="00AB5955">
        <w:rPr>
          <w:rFonts w:ascii="Calibri" w:eastAsia="Times New Roman" w:hAnsi="Calibri" w:cs="Times New Roman"/>
          <w:color w:val="000000" w:themeColor="text1"/>
          <w:lang w:eastAsia="pt-BR"/>
        </w:rPr>
        <w:t>. 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O comércio de seqüências de genomas deve ser transparente e rastreável, caracterizando a inserção de </w:t>
      </w:r>
      <w:r w:rsidR="003721E4" w:rsidRPr="003721E4">
        <w:rPr>
          <w:rFonts w:ascii="Calibri" w:eastAsia="Times New Roman" w:hAnsi="Calibri" w:cs="Times New Roman"/>
          <w:i/>
          <w:color w:val="000000" w:themeColor="text1"/>
          <w:lang w:val="pt-PT" w:eastAsia="pt-BR"/>
        </w:rPr>
        <w:t>“</w:t>
      </w:r>
      <w:r w:rsidRPr="003721E4">
        <w:rPr>
          <w:rFonts w:ascii="Calibri" w:eastAsia="Times New Roman" w:hAnsi="Calibri" w:cs="Times New Roman"/>
          <w:i/>
          <w:color w:val="000000" w:themeColor="text1"/>
          <w:lang w:val="pt-PT" w:eastAsia="pt-BR"/>
        </w:rPr>
        <w:t>tags</w:t>
      </w:r>
      <w:r w:rsidR="003721E4" w:rsidRPr="003721E4">
        <w:rPr>
          <w:rFonts w:ascii="Calibri" w:eastAsia="Times New Roman" w:hAnsi="Calibri" w:cs="Times New Roman"/>
          <w:i/>
          <w:color w:val="000000" w:themeColor="text1"/>
          <w:lang w:val="pt-PT" w:eastAsia="pt-BR"/>
        </w:rPr>
        <w:t>”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de nucleotídeos que pode ser monitorado. A marcação já é obrigatória para as culturas geneticamente modificadas, e pode ser implementado para significativos 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“</w:t>
      </w:r>
      <w:r w:rsidRPr="003721E4">
        <w:rPr>
          <w:rFonts w:ascii="Calibri" w:eastAsia="Times New Roman" w:hAnsi="Calibri" w:cs="Times New Roman"/>
          <w:i/>
          <w:color w:val="000000" w:themeColor="text1"/>
          <w:lang w:val="pt-PT" w:eastAsia="pt-BR"/>
        </w:rPr>
        <w:t>biobrick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s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”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sintéticos ou 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os 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comercialmente negociados. A indústria deve auto financiar o necessário acompanhamento e cumprimento das normas de conduta e permitir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,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sem restrições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,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a inspeção dos governos em caso de falhas na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b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iossegurança ou em laboratórios de segurança.</w:t>
      </w:r>
    </w:p>
    <w:p w:rsidR="00A72224" w:rsidRPr="00AB5955" w:rsidRDefault="00A72224" w:rsidP="00AB5955">
      <w:pPr>
        <w:pStyle w:val="PargrafodaLista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O congresso deve restaurar os fundos de Vigilância Epidemiológica e os destinados a resposta para o CDC e ao Departamento de Agricultura Estados Unidos (USDA)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val="pt-PT" w:eastAsia="pt-BR"/>
        </w:rPr>
        <w:t>.</w:t>
      </w:r>
      <w:r w:rsidRPr="00AB5955">
        <w:rPr>
          <w:rFonts w:ascii="Calibri" w:eastAsia="Times New Roman" w:hAnsi="Calibri" w:cs="Times New Roman"/>
          <w:color w:val="000000" w:themeColor="text1"/>
          <w:lang w:eastAsia="pt-BR"/>
        </w:rPr>
        <w:t> 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Tais fundos para o CDC foram cortados em 25% — sobre US $1 bilhão — desde 2010 e posteriormente ainda mais diminuídos em 5.1% sob contingenciamento, incluindo as perdas dos cinquenta mil oórgãos de saúde pública estaduais, territoriais e municipais. Os 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lastRenderedPageBreak/>
        <w:t>fundos destinados ao CDC e ao USDA foram tão severamente cortados que eles não possuem fundos reprogramáveis. Ambas as organizações devem ter fundos suficientes e capacidade científica para assegurar que se um patógeno é deliberadamente ou acidentalmente lançado, sistemas de identificação, contenção e resposta est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ejam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prontos para eliminar ou minimizar os riscos para os seres humanos, animais, culturas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vegetais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e ao meio ambiente. Qualquer análise de custo-benefício apoia veementemente estas modestas despesas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. U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ma epidemia de febre aftosa  custaria US $14 bilhõ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es por ano à indústria pecuária. C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alcula-se que a pesquisa GOF aumenta o risco de infecção humana em duzentas vezes; e o Banco Mundial estima que uma pandemia de gripe virulenta custaria a economia mundial cerca de US $3 trilhões.</w:t>
      </w:r>
    </w:p>
    <w:p w:rsidR="00A72224" w:rsidRPr="00AB5955" w:rsidRDefault="00A72224" w:rsidP="00AB5955">
      <w:pPr>
        <w:pStyle w:val="PargrafodaLista"/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Calibri" w:eastAsia="Times New Roman" w:hAnsi="Calibri" w:cs="Times New Roman"/>
          <w:color w:val="000000" w:themeColor="text1"/>
          <w:lang w:eastAsia="pt-BR"/>
        </w:rPr>
      </w:pPr>
      <w:r w:rsidRPr="00AB5955">
        <w:rPr>
          <w:rFonts w:ascii="Calibri" w:eastAsia="Times New Roman" w:hAnsi="Calibri" w:cs="Times New Roman"/>
          <w:i/>
          <w:iCs/>
          <w:color w:val="000000" w:themeColor="text1"/>
          <w:lang w:eastAsia="pt-BR"/>
        </w:rPr>
        <w:t>Os Estados Unidos deveria financiar a capacidade de resposta da OMS liderando uma doação anual de um suporte especial US $100 milhões para os próximos cinco anos.</w:t>
      </w:r>
      <w:r w:rsidRPr="00AB5955">
        <w:rPr>
          <w:rFonts w:ascii="Calibri" w:eastAsia="Times New Roman" w:hAnsi="Calibri" w:cs="Times New Roman"/>
          <w:i/>
          <w:iCs/>
          <w:color w:val="000000" w:themeColor="text1"/>
          <w:lang w:val="pt-PT" w:eastAsia="pt-BR"/>
        </w:rPr>
        <w:t> 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Enfrentando duras restrições orçamentárias, a OMS cortou seu orçamento de resposta a crises de 2014–2016 em mais da metade e alocou a nível dos países a responsabilidade de resposta à surtos, mas apenas trinta e cinco países detem capacidade vigilância como definida pelas normas do Regulamento Sanitário Internacional (RSI). A Assembléia Mundial da Saúde da OMS composta por 194 nações aspira a autossuficiência dos países em conformidade com o RSI, mas uma fonte de apoio é necessária para que as nações mais pobres atinjam este objetivo e mantenham o programa de resposta às doenças da OMS viva. Os Estados Unidos deveriam </w:t>
      </w:r>
      <w:r w:rsidR="00066428">
        <w:rPr>
          <w:rFonts w:ascii="Calibri" w:eastAsia="Times New Roman" w:hAnsi="Calibri" w:cs="Times New Roman"/>
          <w:color w:val="000000" w:themeColor="text1"/>
          <w:lang w:val="pt-PT" w:eastAsia="pt-BR"/>
        </w:rPr>
        <w:t>assumir a liderança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 contribuindo com a maior parte dessa 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suporte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de US $100 milhões 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através do Orçamento Fiscal para 2014 (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>FY14</w:t>
      </w:r>
      <w:r w:rsidR="003721E4">
        <w:rPr>
          <w:rFonts w:ascii="Calibri" w:eastAsia="Times New Roman" w:hAnsi="Calibri" w:cs="Times New Roman"/>
          <w:color w:val="000000" w:themeColor="text1"/>
          <w:lang w:val="pt-PT" w:eastAsia="pt-BR"/>
        </w:rPr>
        <w:t>)</w:t>
      </w:r>
      <w:r w:rsidR="00066428">
        <w:rPr>
          <w:rFonts w:ascii="Calibri" w:eastAsia="Times New Roman" w:hAnsi="Calibri" w:cs="Times New Roman"/>
          <w:color w:val="000000" w:themeColor="text1"/>
          <w:lang w:val="pt-PT" w:eastAsia="pt-BR"/>
        </w:rPr>
        <w:t>;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reunindo outros ricos doadores públicos </w:t>
      </w:r>
      <w:r w:rsidR="00066428">
        <w:rPr>
          <w:rFonts w:ascii="Calibri" w:eastAsia="Times New Roman" w:hAnsi="Calibri" w:cs="Times New Roman"/>
          <w:color w:val="000000" w:themeColor="text1"/>
          <w:lang w:val="pt-PT" w:eastAsia="pt-BR"/>
        </w:rPr>
        <w:t>e comprometendo-os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por uma parte deste fundo de apoio e posteriormente, diminuindo anualmente sua participação a medida que a autoconfiança cresça e finalmente cessando a contribuição no final de 2019. Sem nenhum custo adicional além da restauração de verbas atualmente contigenciadas, o Congresso dos Estados Unidos deveria sustentar o projeto Prever (Predict)</w:t>
      </w:r>
      <w:r w:rsidR="008D3A72">
        <w:rPr>
          <w:rFonts w:ascii="Calibri" w:eastAsia="Times New Roman" w:hAnsi="Calibri" w:cs="Times New Roman"/>
          <w:color w:val="000000" w:themeColor="text1"/>
          <w:lang w:val="pt-PT" w:eastAsia="pt-BR"/>
        </w:rPr>
        <w:t>⁵</w:t>
      </w:r>
      <w:r w:rsidRPr="00AB5955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da Agência dos EUA para o Desenvolvimento Internacional (USAID), que treinou quinze mil pessoas em todo o mundo até à data e descobriu duzentos vírus anteriormente desconhecidos.</w:t>
      </w:r>
    </w:p>
    <w:p w:rsidR="00066428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Em geral, os setores acadêmico, institucional e comercial da ciência rejeitam todas as formas de regulação externa e argumentam que forasteiros não podem compreender suas necessidades, inovações e medidas de segurança. Como na engenharia genética, na década de 1970 e física nuclear em meados do século vinte, os cientistas estão errados em insistir que sociedade em geral não tem direito a recear seus esforços, ou insistir em supervisioná-los. </w:t>
      </w:r>
    </w:p>
    <w:p w:rsidR="00066428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>As preocupações nos países mais pobres de que os Estados Unidos e a Europa irão usar o Regulamento DURC para atravancar seus avanços científicos não são totalmente infundadas. É imperativo que as nações ricas os ajudem a desenvolver suas capacidades de vigilância, biossegurança e pesquisa e não usarem a questão da pesquisa de dupla utilização como um obstáculo inadequadamente aplicado à imigração e vistos de trabalho dos cientistas. </w:t>
      </w:r>
    </w:p>
    <w:p w:rsidR="00A72224" w:rsidRDefault="00A72224" w:rsidP="00A72224">
      <w:pPr>
        <w:jc w:val="both"/>
        <w:rPr>
          <w:rFonts w:ascii="Calibri" w:eastAsia="Times New Roman" w:hAnsi="Calibri" w:cs="Times New Roman"/>
          <w:color w:val="000000" w:themeColor="text1"/>
          <w:lang w:val="pt-PT" w:eastAsia="pt-BR"/>
        </w:rPr>
      </w:pP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Embora o impacto combinado destas recomendações não vá eliminar inteiramente a ameaças biológicas relacionadas com a DURC, o resultante aumento dos níveis de capacidades de consciência, prontidão e resposta dos governos poderiam melhorar drásticamente a prevenção de doenças e epidemias e minimizar danos </w:t>
      </w:r>
      <w:r w:rsidR="00066428">
        <w:rPr>
          <w:rFonts w:ascii="Calibri" w:eastAsia="Times New Roman" w:hAnsi="Calibri" w:cs="Times New Roman"/>
          <w:color w:val="000000" w:themeColor="text1"/>
          <w:lang w:val="pt-PT" w:eastAsia="pt-BR"/>
        </w:rPr>
        <w:t>à</w:t>
      </w:r>
      <w:r w:rsidRPr="00A72224">
        <w:rPr>
          <w:rFonts w:ascii="Calibri" w:eastAsia="Times New Roman" w:hAnsi="Calibri" w:cs="Times New Roman"/>
          <w:color w:val="000000" w:themeColor="text1"/>
          <w:lang w:val="pt-PT" w:eastAsia="pt-BR"/>
        </w:rPr>
        <w:t xml:space="preserve"> saúde, econômia, política, e meio ambiente causados por uma libertação deliberada ou acidental de organismos sintetizadas ou alterados pelo GOF.</w:t>
      </w:r>
    </w:p>
    <w:p w:rsidR="002C4FEF" w:rsidRPr="002C4FEF" w:rsidRDefault="002C4FEF" w:rsidP="002C4FEF">
      <w:p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Cs/>
          <w:i/>
          <w:kern w:val="36"/>
          <w:sz w:val="40"/>
          <w:szCs w:val="48"/>
          <w:lang w:val="en-US" w:eastAsia="pt-BR"/>
        </w:rPr>
      </w:pPr>
      <w:r w:rsidRPr="002C4FEF">
        <w:rPr>
          <w:i/>
          <w:sz w:val="18"/>
          <w:lang w:val="en"/>
        </w:rPr>
        <w:t>*senior fellow for global health at the Council on Foreign Relations</w:t>
      </w:r>
    </w:p>
    <w:p w:rsidR="002C4FEF" w:rsidRPr="002C4FEF" w:rsidRDefault="002C4FEF" w:rsidP="00A72224">
      <w:pPr>
        <w:jc w:val="both"/>
        <w:rPr>
          <w:rFonts w:ascii="Calibri" w:eastAsia="Times New Roman" w:hAnsi="Calibri" w:cs="Times New Roman"/>
          <w:color w:val="000000" w:themeColor="text1"/>
          <w:lang w:val="en-US" w:eastAsia="pt-BR"/>
        </w:rPr>
      </w:pPr>
    </w:p>
    <w:p w:rsidR="008D3A72" w:rsidRPr="00757321" w:rsidRDefault="008D3A72" w:rsidP="00066428">
      <w:pPr>
        <w:rPr>
          <w:lang w:val="en-US"/>
        </w:rPr>
      </w:pPr>
    </w:p>
    <w:p w:rsidR="00066428" w:rsidRDefault="00066428" w:rsidP="00066428">
      <w:r>
        <w:t>Notas do Tradutor:</w:t>
      </w:r>
    </w:p>
    <w:p w:rsidR="00A52432" w:rsidRPr="008D3A72" w:rsidRDefault="00A52432" w:rsidP="008D3A72">
      <w:pPr>
        <w:pStyle w:val="PargrafodaLista"/>
        <w:numPr>
          <w:ilvl w:val="0"/>
          <w:numId w:val="11"/>
        </w:numPr>
        <w:jc w:val="both"/>
        <w:rPr>
          <w:rFonts w:ascii="Calibri" w:eastAsia="Times New Roman" w:hAnsi="Calibri" w:cs="Times New Roman"/>
          <w:b/>
          <w:i/>
          <w:color w:val="000000" w:themeColor="text1"/>
          <w:sz w:val="16"/>
          <w:lang w:val="pt-PT" w:eastAsia="pt-BR"/>
        </w:rPr>
      </w:pPr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val="pt-PT" w:eastAsia="pt-BR"/>
        </w:rPr>
        <w:t>Gain of Function (GOF)  - Ganho-de-função</w:t>
      </w:r>
    </w:p>
    <w:p w:rsidR="00A52432" w:rsidRPr="00A52432" w:rsidRDefault="00A52432" w:rsidP="00A52432">
      <w:pPr>
        <w:jc w:val="both"/>
        <w:rPr>
          <w:rFonts w:ascii="Calibri" w:eastAsia="Times New Roman" w:hAnsi="Calibri" w:cs="Times New Roman"/>
          <w:i/>
          <w:color w:val="000000" w:themeColor="text1"/>
          <w:sz w:val="16"/>
          <w:lang w:val="pt-PT" w:eastAsia="pt-BR"/>
        </w:rPr>
      </w:pPr>
      <w:r w:rsidRPr="00A52432">
        <w:rPr>
          <w:rFonts w:ascii="Calibri" w:eastAsia="Times New Roman" w:hAnsi="Calibri" w:cs="Times New Roman"/>
          <w:i/>
          <w:color w:val="000000" w:themeColor="text1"/>
          <w:sz w:val="16"/>
          <w:lang w:val="pt-PT" w:eastAsia="pt-BR"/>
        </w:rPr>
        <w:t>Acréscimo de  ganhos nas características funcionais de um determinado  agente biológico que o torna sob o ponto de vista epidemiológico anteriormente inexistente, o que pode  resultar em grave ameaça a saúde pública oua economia ou o meio ambiente.</w:t>
      </w:r>
    </w:p>
    <w:p w:rsidR="00066428" w:rsidRPr="008D3A72" w:rsidRDefault="00066428" w:rsidP="008D3A72">
      <w:pPr>
        <w:pStyle w:val="PargrafodaLista"/>
        <w:numPr>
          <w:ilvl w:val="0"/>
          <w:numId w:val="11"/>
        </w:numPr>
        <w:jc w:val="both"/>
        <w:rPr>
          <w:b/>
          <w:i/>
          <w:color w:val="000000" w:themeColor="text1"/>
          <w:sz w:val="16"/>
        </w:rPr>
      </w:pPr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eastAsia="pt-BR"/>
        </w:rPr>
        <w:t xml:space="preserve">Dual-use </w:t>
      </w:r>
      <w:proofErr w:type="spellStart"/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eastAsia="pt-BR"/>
        </w:rPr>
        <w:t>research</w:t>
      </w:r>
      <w:proofErr w:type="spellEnd"/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eastAsia="pt-BR"/>
        </w:rPr>
        <w:t xml:space="preserve"> </w:t>
      </w:r>
      <w:proofErr w:type="spellStart"/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eastAsia="pt-BR"/>
        </w:rPr>
        <w:t>of</w:t>
      </w:r>
      <w:proofErr w:type="spellEnd"/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eastAsia="pt-BR"/>
        </w:rPr>
        <w:t xml:space="preserve"> </w:t>
      </w:r>
      <w:proofErr w:type="spellStart"/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eastAsia="pt-BR"/>
        </w:rPr>
        <w:t>concern</w:t>
      </w:r>
      <w:proofErr w:type="spellEnd"/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eastAsia="pt-BR"/>
        </w:rPr>
        <w:t xml:space="preserve"> (DURC) - </w:t>
      </w:r>
      <w:r w:rsidRPr="008D3A72">
        <w:rPr>
          <w:b/>
          <w:color w:val="000000" w:themeColor="text1"/>
          <w:sz w:val="16"/>
          <w:lang w:val="pt-PT"/>
        </w:rPr>
        <w:t>Pesquisas de Dupla Utilização que Sucitem Preocupação</w:t>
      </w:r>
    </w:p>
    <w:p w:rsidR="00066428" w:rsidRPr="00A52432" w:rsidRDefault="00066428" w:rsidP="00066428">
      <w:pPr>
        <w:jc w:val="both"/>
        <w:rPr>
          <w:i/>
          <w:color w:val="000000" w:themeColor="text1"/>
          <w:sz w:val="16"/>
        </w:rPr>
      </w:pPr>
      <w:r w:rsidRPr="00A52432">
        <w:rPr>
          <w:i/>
          <w:color w:val="000000" w:themeColor="text1"/>
          <w:sz w:val="16"/>
        </w:rPr>
        <w:t>Pesquisa que, com base no entendimento atual, podem ser utilizadas para fornecer conhecimento, produtos ou tecnologias que poderiam ser diretamente usados como uma ameaça para a saúde e segurança pública, culturas agrícolas de plantas ou animais ou ao meio ambiente.</w:t>
      </w:r>
    </w:p>
    <w:p w:rsidR="00A52432" w:rsidRPr="008D3A72" w:rsidRDefault="00A52432" w:rsidP="008D3A72">
      <w:pPr>
        <w:pStyle w:val="PargrafodaLista"/>
        <w:numPr>
          <w:ilvl w:val="0"/>
          <w:numId w:val="11"/>
        </w:numPr>
        <w:jc w:val="both"/>
        <w:rPr>
          <w:b/>
          <w:i/>
          <w:color w:val="000000" w:themeColor="text1"/>
          <w:sz w:val="16"/>
        </w:rPr>
      </w:pPr>
      <w:proofErr w:type="spellStart"/>
      <w:proofErr w:type="gramStart"/>
      <w:r w:rsidRPr="008D3A72">
        <w:rPr>
          <w:b/>
          <w:i/>
          <w:color w:val="000000" w:themeColor="text1"/>
          <w:sz w:val="16"/>
        </w:rPr>
        <w:t>BioBrick</w:t>
      </w:r>
      <w:proofErr w:type="spellEnd"/>
      <w:r w:rsidRPr="008D3A72">
        <w:rPr>
          <w:b/>
          <w:i/>
          <w:color w:val="000000" w:themeColor="text1"/>
          <w:sz w:val="16"/>
        </w:rPr>
        <w:t xml:space="preserve">  -</w:t>
      </w:r>
      <w:proofErr w:type="gramEnd"/>
      <w:r w:rsidRPr="008D3A72">
        <w:rPr>
          <w:b/>
          <w:i/>
          <w:color w:val="000000" w:themeColor="text1"/>
          <w:sz w:val="16"/>
        </w:rPr>
        <w:t xml:space="preserve"> Peça ou “Tijolo” biológico</w:t>
      </w:r>
    </w:p>
    <w:p w:rsidR="00A52432" w:rsidRPr="00A52432" w:rsidRDefault="00A52432" w:rsidP="00A52432">
      <w:pPr>
        <w:jc w:val="both"/>
        <w:rPr>
          <w:i/>
          <w:color w:val="000000" w:themeColor="text1"/>
          <w:sz w:val="16"/>
        </w:rPr>
      </w:pPr>
      <w:r w:rsidRPr="00A52432">
        <w:rPr>
          <w:i/>
          <w:color w:val="000000" w:themeColor="text1"/>
          <w:sz w:val="16"/>
        </w:rPr>
        <w:t>São sequências de DNA de uma determinada estrutura e função que compartilham uma interface comum e são projetados para serem compostos e incorporados em células vivas. Representam um esforço para introduzir os princípios de engenharia de abstração e padronização em biologia sintética.</w:t>
      </w:r>
    </w:p>
    <w:p w:rsidR="008D3A72" w:rsidRPr="008D3A72" w:rsidRDefault="008D3A72" w:rsidP="008D3A72">
      <w:pPr>
        <w:pStyle w:val="PargrafodaLista"/>
        <w:numPr>
          <w:ilvl w:val="0"/>
          <w:numId w:val="11"/>
        </w:numPr>
        <w:jc w:val="both"/>
        <w:rPr>
          <w:rFonts w:ascii="Calibri" w:eastAsia="Times New Roman" w:hAnsi="Calibri" w:cs="Times New Roman"/>
          <w:b/>
          <w:i/>
          <w:color w:val="000000" w:themeColor="text1"/>
          <w:sz w:val="16"/>
          <w:lang w:val="pt-PT" w:eastAsia="pt-BR"/>
        </w:rPr>
      </w:pPr>
      <w:r w:rsidRPr="008D3A72">
        <w:rPr>
          <w:rFonts w:ascii="Calibri" w:eastAsia="Times New Roman" w:hAnsi="Calibri" w:cs="Times New Roman"/>
          <w:b/>
          <w:i/>
          <w:color w:val="000000" w:themeColor="text1"/>
          <w:sz w:val="16"/>
          <w:lang w:val="pt-PT" w:eastAsia="pt-BR"/>
        </w:rPr>
        <w:t>TAGS</w:t>
      </w:r>
    </w:p>
    <w:p w:rsidR="008D3A72" w:rsidRPr="008D3A72" w:rsidRDefault="008D3A72" w:rsidP="008D3A72">
      <w:pPr>
        <w:jc w:val="both"/>
        <w:rPr>
          <w:rFonts w:ascii="Calibri" w:eastAsia="Times New Roman" w:hAnsi="Calibri" w:cs="Times New Roman"/>
          <w:i/>
          <w:color w:val="000000" w:themeColor="text1"/>
          <w:sz w:val="16"/>
          <w:lang w:val="pt-PT" w:eastAsia="pt-BR"/>
        </w:rPr>
      </w:pPr>
      <w:r w:rsidRPr="008D3A72">
        <w:rPr>
          <w:rFonts w:ascii="Calibri" w:eastAsia="Times New Roman" w:hAnsi="Calibri" w:cs="Times New Roman"/>
          <w:i/>
          <w:color w:val="000000" w:themeColor="text1"/>
          <w:sz w:val="16"/>
          <w:lang w:val="pt-PT" w:eastAsia="pt-BR"/>
        </w:rPr>
        <w:t>São “etiquetas” contendo dados sobre outros dados (metadados) que possibilitam ou facilitam a identificação sobre o conteúdo, autoria origem e cronologia de um dterminado documento postado na internet.</w:t>
      </w:r>
    </w:p>
    <w:p w:rsidR="00066428" w:rsidRPr="008D3A72" w:rsidRDefault="00066428" w:rsidP="008D3A72">
      <w:pPr>
        <w:pStyle w:val="PargrafodaLista"/>
        <w:numPr>
          <w:ilvl w:val="0"/>
          <w:numId w:val="11"/>
        </w:numPr>
        <w:jc w:val="both"/>
        <w:rPr>
          <w:b/>
          <w:i/>
          <w:color w:val="000000" w:themeColor="text1"/>
          <w:sz w:val="16"/>
        </w:rPr>
      </w:pPr>
      <w:r w:rsidRPr="008D3A72">
        <w:rPr>
          <w:b/>
          <w:i/>
          <w:color w:val="000000" w:themeColor="text1"/>
          <w:sz w:val="16"/>
        </w:rPr>
        <w:t>PREDICT Project</w:t>
      </w:r>
    </w:p>
    <w:p w:rsidR="00066428" w:rsidRPr="00A52432" w:rsidRDefault="00066428" w:rsidP="00066428">
      <w:pPr>
        <w:jc w:val="both"/>
        <w:rPr>
          <w:i/>
          <w:color w:val="000000" w:themeColor="text1"/>
          <w:sz w:val="16"/>
        </w:rPr>
      </w:pPr>
      <w:r w:rsidRPr="00A52432">
        <w:rPr>
          <w:i/>
          <w:color w:val="000000" w:themeColor="text1"/>
          <w:sz w:val="16"/>
        </w:rPr>
        <w:t xml:space="preserve">Em um esforço para identificar e responder a novas doenças </w:t>
      </w:r>
      <w:proofErr w:type="spellStart"/>
      <w:r w:rsidRPr="00A52432">
        <w:rPr>
          <w:i/>
          <w:color w:val="000000" w:themeColor="text1"/>
          <w:sz w:val="16"/>
        </w:rPr>
        <w:t>zoonóticas</w:t>
      </w:r>
      <w:proofErr w:type="spellEnd"/>
      <w:r w:rsidRPr="00A52432">
        <w:rPr>
          <w:i/>
          <w:color w:val="000000" w:themeColor="text1"/>
          <w:sz w:val="16"/>
        </w:rPr>
        <w:t xml:space="preserve"> antes que se propaguem para os seres humanos, a Agência dos EUA para o Desenvolvimento Internacional (USAID) estabeleceu seu programa de Ameaças de Pandemia Emergentes (</w:t>
      </w:r>
      <w:proofErr w:type="spellStart"/>
      <w:r w:rsidRPr="00A52432">
        <w:rPr>
          <w:i/>
          <w:color w:val="000000" w:themeColor="text1"/>
          <w:sz w:val="16"/>
        </w:rPr>
        <w:t>Emerging</w:t>
      </w:r>
      <w:proofErr w:type="spellEnd"/>
      <w:r w:rsidRPr="00A52432">
        <w:rPr>
          <w:i/>
          <w:color w:val="000000" w:themeColor="text1"/>
          <w:sz w:val="16"/>
        </w:rPr>
        <w:t xml:space="preserve"> </w:t>
      </w:r>
      <w:proofErr w:type="spellStart"/>
      <w:r w:rsidRPr="00A52432">
        <w:rPr>
          <w:i/>
          <w:color w:val="000000" w:themeColor="text1"/>
          <w:sz w:val="16"/>
        </w:rPr>
        <w:t>Pandemic</w:t>
      </w:r>
      <w:proofErr w:type="spellEnd"/>
      <w:r w:rsidRPr="00A52432">
        <w:rPr>
          <w:i/>
          <w:color w:val="000000" w:themeColor="text1"/>
          <w:sz w:val="16"/>
        </w:rPr>
        <w:t xml:space="preserve"> </w:t>
      </w:r>
      <w:proofErr w:type="gramStart"/>
      <w:r w:rsidR="008D3A72" w:rsidRPr="00A52432">
        <w:rPr>
          <w:i/>
          <w:color w:val="000000" w:themeColor="text1"/>
          <w:sz w:val="16"/>
        </w:rPr>
        <w:t>Threads</w:t>
      </w:r>
      <w:r w:rsidRPr="00A52432">
        <w:rPr>
          <w:i/>
          <w:color w:val="000000" w:themeColor="text1"/>
          <w:sz w:val="16"/>
        </w:rPr>
        <w:t xml:space="preserve">  -</w:t>
      </w:r>
      <w:proofErr w:type="gramEnd"/>
      <w:r w:rsidRPr="00A52432">
        <w:rPr>
          <w:i/>
          <w:color w:val="000000" w:themeColor="text1"/>
          <w:sz w:val="16"/>
        </w:rPr>
        <w:t xml:space="preserve"> EPT). O programa EPT é composto por quatro projetos: prever (PREDICT), prevenir, identificar e responder.  O projeto PREDICT pretende identificar doenças infecciosas emergentes que poderiam se tornar uma ameaça para a saúde humana.</w:t>
      </w:r>
    </w:p>
    <w:p w:rsidR="008D3A72" w:rsidRPr="008D3A72" w:rsidRDefault="008D3A72" w:rsidP="008D3A72">
      <w:pPr>
        <w:jc w:val="both"/>
        <w:rPr>
          <w:rFonts w:ascii="Calibri" w:eastAsia="Times New Roman" w:hAnsi="Calibri" w:cs="Times New Roman"/>
          <w:i/>
          <w:color w:val="000000" w:themeColor="text1"/>
          <w:sz w:val="16"/>
          <w:lang w:val="pt-PT" w:eastAsia="pt-BR"/>
        </w:rPr>
      </w:pPr>
    </w:p>
    <w:sectPr w:rsidR="008D3A72" w:rsidRPr="008D3A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12715"/>
    <w:multiLevelType w:val="multilevel"/>
    <w:tmpl w:val="0DE2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BC3B0D"/>
    <w:multiLevelType w:val="multilevel"/>
    <w:tmpl w:val="4F8A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333B92"/>
    <w:multiLevelType w:val="hybridMultilevel"/>
    <w:tmpl w:val="389631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D5B47"/>
    <w:multiLevelType w:val="hybridMultilevel"/>
    <w:tmpl w:val="AB346A9A"/>
    <w:lvl w:ilvl="0" w:tplc="0416000F">
      <w:start w:val="1"/>
      <w:numFmt w:val="decimal"/>
      <w:lvlText w:val="%1.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1C3661A"/>
    <w:multiLevelType w:val="hybridMultilevel"/>
    <w:tmpl w:val="82880A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90B77"/>
    <w:multiLevelType w:val="hybridMultilevel"/>
    <w:tmpl w:val="82880A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827C9"/>
    <w:multiLevelType w:val="hybridMultilevel"/>
    <w:tmpl w:val="140C52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7D0CC4"/>
    <w:multiLevelType w:val="hybridMultilevel"/>
    <w:tmpl w:val="D5BAB7F4"/>
    <w:lvl w:ilvl="0" w:tplc="0416000F">
      <w:start w:val="1"/>
      <w:numFmt w:val="decimal"/>
      <w:lvlText w:val="%1.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6572C1D"/>
    <w:multiLevelType w:val="hybridMultilevel"/>
    <w:tmpl w:val="3294AA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097B60"/>
    <w:multiLevelType w:val="hybridMultilevel"/>
    <w:tmpl w:val="55F2A670"/>
    <w:lvl w:ilvl="0" w:tplc="C608A076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  <w:b w:val="0"/>
        <w:sz w:val="2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694ABD"/>
    <w:multiLevelType w:val="hybridMultilevel"/>
    <w:tmpl w:val="087AB0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7AC"/>
    <w:rsid w:val="00066428"/>
    <w:rsid w:val="002C4FEF"/>
    <w:rsid w:val="003721E4"/>
    <w:rsid w:val="005D17AC"/>
    <w:rsid w:val="005F4E0C"/>
    <w:rsid w:val="00757321"/>
    <w:rsid w:val="008D3A72"/>
    <w:rsid w:val="00A52432"/>
    <w:rsid w:val="00A72224"/>
    <w:rsid w:val="00AB5955"/>
    <w:rsid w:val="00B15B8B"/>
    <w:rsid w:val="00C35D03"/>
    <w:rsid w:val="00F9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9A165-F5EC-449B-8C2D-6899A432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D17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5D17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5D17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D17A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5D17A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5D17A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D17A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D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ub-info">
    <w:name w:val="pub-info"/>
    <w:basedOn w:val="Normal"/>
    <w:rsid w:val="005D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abel">
    <w:name w:val="label"/>
    <w:basedOn w:val="Fontepargpadro"/>
    <w:rsid w:val="005D17AC"/>
  </w:style>
  <w:style w:type="character" w:customStyle="1" w:styleId="number">
    <w:name w:val="number"/>
    <w:basedOn w:val="Fontepargpadro"/>
    <w:rsid w:val="005D17AC"/>
  </w:style>
  <w:style w:type="character" w:styleId="nfase">
    <w:name w:val="Emphasis"/>
    <w:basedOn w:val="Fontepargpadro"/>
    <w:uiPriority w:val="20"/>
    <w:qFormat/>
    <w:rsid w:val="005D17AC"/>
    <w:rPr>
      <w:i/>
      <w:iCs/>
    </w:rPr>
  </w:style>
  <w:style w:type="paragraph" w:customStyle="1" w:styleId="bulletedtitle">
    <w:name w:val="bulletedtitle"/>
    <w:basedOn w:val="Normal"/>
    <w:rsid w:val="005D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D17AC"/>
    <w:rPr>
      <w:b/>
      <w:bCs/>
    </w:rPr>
  </w:style>
  <w:style w:type="table" w:styleId="Tabelacomgrade">
    <w:name w:val="Table Grid"/>
    <w:basedOn w:val="Tabelanormal"/>
    <w:uiPriority w:val="39"/>
    <w:rsid w:val="00A72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93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5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216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0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2488</Words>
  <Characters>13437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Edson</dc:creator>
  <cp:keywords/>
  <dc:description/>
  <cp:lastModifiedBy>Carlos Edson</cp:lastModifiedBy>
  <cp:revision>4</cp:revision>
  <dcterms:created xsi:type="dcterms:W3CDTF">2013-11-15T18:10:00Z</dcterms:created>
  <dcterms:modified xsi:type="dcterms:W3CDTF">2014-07-25T02:34:00Z</dcterms:modified>
</cp:coreProperties>
</file>